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b w:val="1"/>
          <w:bCs w:val="1"/>
        </w:rPr>
      </w:pPr>
      <w:bookmarkStart w:colFirst="0" w:colLast="0" w:name="_lf19e850l09g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நீதிமான் செய்ய வேண்டிய காரியங்கள்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பாடி மகிழ வேண்டும் - நீதி 29:6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கர்த்தருக்குள் களி கூற வேண்டும் - சங் 33:1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கர்த்தருடைய நாமத்தை துதிக்க வேண்டும் - சங் 140:13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ஜெபிக்க வேண்டும் - சங் 34:17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மற்றவர்களுக்கு கொடுக்க வேண்டும் - நீதி 21:26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தேவனோடு சஞ்சரித்து கொண்டு இருக்க வேண்டும் - ஆதி 6:9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 மற்றவர்களுக்கு நன்மை செய்ய வேண்டும் - 1 சாமு 24:17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